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D09BD" w:rsidRPr="003B757D" w:rsidTr="00AD09BD">
        <w:tc>
          <w:tcPr>
            <w:tcW w:w="2235" w:type="dxa"/>
            <w:vMerge w:val="restart"/>
            <w:vAlign w:val="center"/>
          </w:tcPr>
          <w:p w:rsidR="00AD09BD" w:rsidRPr="00AD09BD" w:rsidRDefault="00AD09BD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512" w:type="dxa"/>
          </w:tcPr>
          <w:p w:rsidR="00AD09BD" w:rsidRPr="00AD09BD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Technical guidelines for assessing climate change impact and adaptation</w:t>
            </w:r>
          </w:p>
        </w:tc>
      </w:tr>
      <w:tr w:rsidR="00AD09BD" w:rsidRPr="003B757D" w:rsidTr="00F430B9">
        <w:tc>
          <w:tcPr>
            <w:tcW w:w="2235" w:type="dxa"/>
            <w:vMerge/>
          </w:tcPr>
          <w:p w:rsidR="00AD09BD" w:rsidRPr="00AD09BD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AD09BD" w:rsidRPr="00AD09BD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Intergovernmental Panel on Climate Change - IPCC</w:t>
            </w:r>
          </w:p>
        </w:tc>
      </w:tr>
      <w:tr w:rsidR="00AD09BD" w:rsidRPr="003B757D" w:rsidTr="00F430B9">
        <w:tc>
          <w:tcPr>
            <w:tcW w:w="2235" w:type="dxa"/>
            <w:vMerge/>
          </w:tcPr>
          <w:p w:rsidR="00AD09BD" w:rsidRPr="00AD09BD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AD09BD" w:rsidRPr="00AD09BD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IPCC (1994), IPCC technical guidelines for assessing climate change impact and adaptation</w:t>
            </w:r>
          </w:p>
        </w:tc>
      </w:tr>
      <w:tr w:rsidR="00F430B9" w:rsidRPr="003B757D" w:rsidTr="00F430B9">
        <w:tc>
          <w:tcPr>
            <w:tcW w:w="2235" w:type="dxa"/>
          </w:tcPr>
          <w:p w:rsidR="00F430B9" w:rsidRPr="00AD09BD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512" w:type="dxa"/>
          </w:tcPr>
          <w:p w:rsidR="00F430B9" w:rsidRPr="00AD09BD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AD09BD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To provide a means for assessing the impacts of potential climate change and of evaluating appropriate adaptation</w:t>
            </w:r>
          </w:p>
        </w:tc>
      </w:tr>
    </w:tbl>
    <w:tbl>
      <w:tblPr>
        <w:tblStyle w:val="LightShading-Accent1"/>
        <w:tblW w:w="9747" w:type="dxa"/>
        <w:tblLook w:val="04A0" w:firstRow="1" w:lastRow="0" w:firstColumn="1" w:lastColumn="0" w:noHBand="0" w:noVBand="1"/>
      </w:tblPr>
      <w:tblGrid>
        <w:gridCol w:w="2235"/>
        <w:gridCol w:w="2504"/>
        <w:gridCol w:w="2504"/>
        <w:gridCol w:w="2504"/>
      </w:tblGrid>
      <w:tr w:rsidR="00F430B9" w:rsidRPr="00AE5697" w:rsidTr="00AD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F430B9" w:rsidRPr="00AE5697" w:rsidRDefault="00F430B9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b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F430B9" w:rsidRPr="00AE5697" w:rsidTr="00F4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F430B9" w:rsidRPr="003B757D" w:rsidTr="00F4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F430B9" w:rsidP="000110FB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Climatic Scenarios. Baseline.</w:t>
            </w:r>
            <w:r w:rsidR="000110FB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Experimentation; biophysical models</w:t>
            </w:r>
            <w:r w:rsidR="000602E5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504" w:type="dxa"/>
          </w:tcPr>
          <w:p w:rsidR="00F430B9" w:rsidRPr="00AE5697" w:rsidRDefault="00F430B9" w:rsidP="000602E5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Socio-economic scenarios</w:t>
            </w:r>
            <w:r w:rsidR="000602E5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. Projections from: World Bank, UN, OECD, IMF.  </w:t>
            </w:r>
          </w:p>
        </w:tc>
        <w:tc>
          <w:tcPr>
            <w:tcW w:w="2504" w:type="dxa"/>
          </w:tcPr>
          <w:p w:rsidR="00F430B9" w:rsidRPr="00AE5697" w:rsidRDefault="000110FB" w:rsidP="000110FB">
            <w:pPr>
              <w:spacing w:before="80" w:after="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Experimentation and projections. 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 xml:space="preserve">Socio-economic models (Linear Programming; Quadratic Programming; 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General Equilibrium</w:t>
            </w:r>
            <w:r w:rsidR="000602E5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; Input-Output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>)</w:t>
            </w:r>
            <w:r w:rsidR="000602E5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US"/>
              </w:rPr>
              <w:t xml:space="preserve"> applied at firm-level, sector-level, and economy-wide.</w:t>
            </w:r>
          </w:p>
        </w:tc>
      </w:tr>
      <w:tr w:rsidR="00F430B9" w:rsidRPr="00AE5697" w:rsidTr="00F4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</w:tcPr>
          <w:p w:rsidR="00F430B9" w:rsidRPr="00AE5697" w:rsidRDefault="00F430B9" w:rsidP="00AD09BD">
            <w:pPr>
              <w:spacing w:before="80" w:after="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</w:tr>
      <w:tr w:rsidR="00F430B9" w:rsidRPr="003B757D" w:rsidTr="00F43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:rsidR="00F430B9" w:rsidRPr="00AE5697" w:rsidRDefault="00F430B9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AE5697" w:rsidRDefault="00F430B9" w:rsidP="00F430B9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F430B9" w:rsidRPr="003B757D" w:rsidRDefault="003B757D" w:rsidP="003B757D">
            <w:pPr>
              <w:spacing w:before="80" w:after="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3B757D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 xml:space="preserve">Tangible </w:t>
            </w:r>
            <w:r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 w:rsidRPr="003B757D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 xml:space="preserve">some details about </w:t>
            </w:r>
            <w:bookmarkStart w:id="0" w:name="_GoBack"/>
            <w:bookmarkEnd w:id="0"/>
            <w:r w:rsidRPr="003B757D">
              <w:rPr>
                <w:rStyle w:val="Heading1Char"/>
                <w:rFonts w:ascii="Palatino Linotype" w:eastAsia="Calibri" w:hAnsi="Palatino Linotype" w:cs="Times New Roman"/>
                <w:b w:val="0"/>
                <w:i/>
                <w:color w:val="auto"/>
                <w:sz w:val="20"/>
                <w:szCs w:val="20"/>
                <w:lang w:val="en-GB"/>
              </w:rPr>
              <w:t>Intangible</w:t>
            </w:r>
          </w:p>
        </w:tc>
      </w:tr>
    </w:tbl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302BE" w:rsidRPr="00AE5697" w:rsidTr="00AE5697">
        <w:trPr>
          <w:trHeight w:val="626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938" w:type="dxa"/>
          </w:tcPr>
          <w:p w:rsidR="00E302BE" w:rsidRPr="00AE5697" w:rsidRDefault="00771CDF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 </w:t>
            </w:r>
          </w:p>
        </w:tc>
      </w:tr>
      <w:tr w:rsidR="00E302BE" w:rsidRPr="003B757D" w:rsidTr="00AE5697">
        <w:trPr>
          <w:trHeight w:val="1236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Uncertainty</w:t>
            </w:r>
          </w:p>
        </w:tc>
        <w:tc>
          <w:tcPr>
            <w:tcW w:w="7938" w:type="dxa"/>
          </w:tcPr>
          <w:p w:rsidR="00AE5697" w:rsidRPr="00AE5697" w:rsidRDefault="00C6686B" w:rsidP="00AE5697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2"/>
                <w:szCs w:val="22"/>
                <w:lang w:val="en-GB"/>
              </w:rPr>
              <w:t>Uncertainty analysis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="00AD09BD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addresses 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the uncertain </w:t>
            </w:r>
            <w:r w:rsidR="00AE5697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derived from errors and unknowns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. </w:t>
            </w:r>
            <w:r w:rsidRPr="00AE5697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2"/>
                <w:szCs w:val="22"/>
                <w:lang w:val="en-GB"/>
              </w:rPr>
              <w:t>Risk analysis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deals with uncertainty in terms of the risk of impact.</w:t>
            </w:r>
            <w:r w:rsidR="00AB670E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E302BE" w:rsidRPr="00AE5697" w:rsidTr="00AE5697">
        <w:trPr>
          <w:trHeight w:val="688"/>
        </w:trPr>
        <w:tc>
          <w:tcPr>
            <w:tcW w:w="1809" w:type="dxa"/>
          </w:tcPr>
          <w:p w:rsidR="00E302BE" w:rsidRPr="00AE5697" w:rsidRDefault="00E302BE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938" w:type="dxa"/>
          </w:tcPr>
          <w:p w:rsidR="00E302BE" w:rsidRPr="00AE5697" w:rsidRDefault="00AE5697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No. The guidance is not specifically aimed at the assessment of climate change patterns. It is specifically focused on impact assessment.</w:t>
            </w:r>
          </w:p>
        </w:tc>
      </w:tr>
      <w:tr w:rsidR="00C6686B" w:rsidRPr="00AE5697" w:rsidTr="00AE5697">
        <w:trPr>
          <w:trHeight w:val="689"/>
        </w:trPr>
        <w:tc>
          <w:tcPr>
            <w:tcW w:w="1809" w:type="dxa"/>
          </w:tcPr>
          <w:p w:rsidR="00C6686B" w:rsidRPr="00AE5697" w:rsidRDefault="00AD09BD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938" w:type="dxa"/>
          </w:tcPr>
          <w:p w:rsidR="00C6686B" w:rsidRPr="00AE5697" w:rsidRDefault="00C6686B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No</w:t>
            </w:r>
            <w:r w:rsidR="00AD09BD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specific guidance</w:t>
            </w:r>
          </w:p>
        </w:tc>
      </w:tr>
      <w:tr w:rsidR="00C6686B" w:rsidRPr="003B757D" w:rsidTr="00AE5697">
        <w:trPr>
          <w:trHeight w:val="302"/>
        </w:trPr>
        <w:tc>
          <w:tcPr>
            <w:tcW w:w="1809" w:type="dxa"/>
          </w:tcPr>
          <w:p w:rsidR="00C6686B" w:rsidRPr="00AE5697" w:rsidRDefault="00C6686B" w:rsidP="00F430B9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938" w:type="dxa"/>
          </w:tcPr>
          <w:p w:rsidR="00C6686B" w:rsidRPr="00AE5697" w:rsidRDefault="00AE5697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guidance document specifies the basic characteristics of the data required for the assessment. Main issues are related to: type of data; time period; sources and format; quantity and quality; availability; and accessibility.</w:t>
            </w:r>
          </w:p>
        </w:tc>
      </w:tr>
      <w:tr w:rsidR="00E302BE" w:rsidRPr="003B757D" w:rsidTr="00AE5697">
        <w:trPr>
          <w:trHeight w:val="721"/>
        </w:trPr>
        <w:tc>
          <w:tcPr>
            <w:tcW w:w="1809" w:type="dxa"/>
          </w:tcPr>
          <w:p w:rsidR="00E302BE" w:rsidRPr="00AE5697" w:rsidRDefault="00AD09BD" w:rsidP="00AD09BD">
            <w:pPr>
              <w:spacing w:before="80" w:after="80" w:line="276" w:lineRule="auto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938" w:type="dxa"/>
          </w:tcPr>
          <w:p w:rsidR="00E302BE" w:rsidRPr="00AE5697" w:rsidRDefault="00AD09BD" w:rsidP="00AB670E">
            <w:pPr>
              <w:spacing w:before="80" w:after="80" w:line="276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</w:t>
            </w:r>
            <w:r w:rsidR="00E302BE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Guid</w:t>
            </w:r>
            <w:r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ance is </w:t>
            </w:r>
            <w:r w:rsidR="00E302BE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currently being revised in the context of UNEP </w:t>
            </w:r>
            <w:r w:rsidR="00AB670E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- Programme of Research on Climate Change Vulnerability, Impacts and Adaptation (PROVIA) (</w:t>
            </w:r>
            <w:hyperlink r:id="rId6" w:history="1">
              <w:r w:rsidR="00AB670E" w:rsidRPr="00AE5697">
                <w:rPr>
                  <w:rStyle w:val="Hyperlink"/>
                  <w:rFonts w:ascii="Palatino Linotype" w:eastAsiaTheme="majorEastAsia" w:hAnsi="Palatino Linotype" w:cstheme="majorBidi"/>
                  <w:lang w:val="en-GB"/>
                </w:rPr>
                <w:t>http://www.unep.org/provia/</w:t>
              </w:r>
            </w:hyperlink>
            <w:r w:rsidR="00AB670E" w:rsidRPr="00AE5697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</w:tr>
    </w:tbl>
    <w:p w:rsidR="00475825" w:rsidRPr="00AE5697" w:rsidRDefault="00475825" w:rsidP="00C6686B">
      <w:pPr>
        <w:rPr>
          <w:rStyle w:val="Heading2Char"/>
          <w:color w:val="auto"/>
          <w:sz w:val="22"/>
          <w:szCs w:val="22"/>
          <w:lang w:val="en-GB"/>
        </w:rPr>
      </w:pPr>
    </w:p>
    <w:sectPr w:rsidR="00475825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2"/>
    <w:rsid w:val="000110FB"/>
    <w:rsid w:val="0003398C"/>
    <w:rsid w:val="000602E5"/>
    <w:rsid w:val="000D0DE0"/>
    <w:rsid w:val="001F1FC6"/>
    <w:rsid w:val="002E01DD"/>
    <w:rsid w:val="003B757D"/>
    <w:rsid w:val="00475825"/>
    <w:rsid w:val="005E2677"/>
    <w:rsid w:val="00771CDF"/>
    <w:rsid w:val="007B373A"/>
    <w:rsid w:val="00862872"/>
    <w:rsid w:val="008748BE"/>
    <w:rsid w:val="00A47827"/>
    <w:rsid w:val="00AB670E"/>
    <w:rsid w:val="00AD09BD"/>
    <w:rsid w:val="00AE5697"/>
    <w:rsid w:val="00B925E9"/>
    <w:rsid w:val="00C6686B"/>
    <w:rsid w:val="00E302BE"/>
    <w:rsid w:val="00F430B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5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2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58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p.org/prov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A390-E3DE-4423-8C46-F1A1FE6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Farinosi</dc:creator>
  <cp:lastModifiedBy>Fabio Farinosi</cp:lastModifiedBy>
  <cp:revision>6</cp:revision>
  <dcterms:created xsi:type="dcterms:W3CDTF">2013-06-25T08:58:00Z</dcterms:created>
  <dcterms:modified xsi:type="dcterms:W3CDTF">2013-07-25T13:50:00Z</dcterms:modified>
</cp:coreProperties>
</file>